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Style w:val="Strong"/>
          <w:sz w:val="28"/>
          <w:szCs w:val="28"/>
        </w:rPr>
      </w:pPr>
      <w:r w:rsidRPr="00CE321A">
        <w:rPr>
          <w:rStyle w:val="Strong"/>
          <w:sz w:val="28"/>
          <w:szCs w:val="28"/>
        </w:rPr>
        <w:t>Diocese of Scranton Scholarship Foundation for Catholic Schools</w:t>
      </w:r>
    </w:p>
    <w:p w:rsidR="00CE321A" w:rsidRPr="0051653B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rStyle w:val="Strong"/>
          <w:b w:val="0"/>
          <w:bCs w:val="0"/>
        </w:rPr>
      </w:pPr>
      <w:r w:rsidRPr="00CE321A">
        <w:t>T</w:t>
      </w:r>
      <w:r>
        <w:t>he generosity of individual and business donors</w:t>
      </w:r>
      <w:r w:rsidRPr="00CE321A">
        <w:t xml:space="preserve"> who contribute to the Diocese of Scranton Scho</w:t>
      </w:r>
      <w:r>
        <w:t xml:space="preserve">larship Foundation provides an opportunity for </w:t>
      </w:r>
      <w:r w:rsidRPr="00CE321A">
        <w:t xml:space="preserve">families </w:t>
      </w:r>
      <w:r>
        <w:t xml:space="preserve">who need financial assistance </w:t>
      </w:r>
      <w:r w:rsidRPr="00CE321A">
        <w:t xml:space="preserve">to </w:t>
      </w:r>
      <w:r>
        <w:t>choose a Catholic education for their children.</w:t>
      </w:r>
      <w:r w:rsidR="0051653B">
        <w:t xml:space="preserve"> </w:t>
      </w:r>
      <w:r>
        <w:t xml:space="preserve">Gifts to our need-based Catholic Schools tuition assistance program </w:t>
      </w:r>
      <w:r w:rsidR="0051653B">
        <w:t>help students reach their full potential in a faith-centered leaning environment focused on strong academics and service to others.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rPr>
          <w:rStyle w:val="Strong"/>
        </w:rPr>
        <w:t>Academic Angel Program</w:t>
      </w:r>
    </w:p>
    <w:p w:rsid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The Academic Angel program allows individuals to support our students and families directly through the Diocese of Scranton Scholarship Foundation. Your contribution is an investment in a child’s future… the outcomes speak for themselves. Our schools offer our youth an instructional environment that challenges the mind, while inspiring and </w:t>
      </w:r>
      <w:r w:rsidR="0051653B">
        <w:t xml:space="preserve">strengthening the spirit. You may restrict your Academic Angel gift </w:t>
      </w:r>
      <w:r w:rsidRPr="00CE321A">
        <w:t>to a particular s</w:t>
      </w:r>
      <w:r w:rsidR="0051653B">
        <w:t>chool or be used where it is most needed.</w:t>
      </w:r>
    </w:p>
    <w:p w:rsidR="001A2717" w:rsidRDefault="001A2717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</w:rPr>
      </w:pP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</w:rPr>
      </w:pPr>
      <w:r w:rsidRPr="00CE321A">
        <w:rPr>
          <w:b/>
        </w:rPr>
        <w:t>Educational Improvement Tax Credit Program for Business Donors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 xml:space="preserve">Our Catholic School families are grateful to a number of Pennsylvania businesses that continue to support our Catholic schools through </w:t>
      </w:r>
      <w:r w:rsidRPr="00CE321A">
        <w:t>the Educational Improvement Tax Credit Program (EITC) and the Opportunity Scholarship Tax Credit Program (OSTC) offered through the State of Pennsylvania’s Department of Community and Eco</w:t>
      </w:r>
      <w:r>
        <w:t xml:space="preserve">nomic Development (DCED).  This innovative program </w:t>
      </w:r>
      <w:r w:rsidRPr="00CE321A">
        <w:t xml:space="preserve">allows businesses to </w:t>
      </w:r>
      <w:proofErr w:type="gramStart"/>
      <w:r w:rsidRPr="00CE321A">
        <w:t>make donations</w:t>
      </w:r>
      <w:proofErr w:type="gramEnd"/>
      <w:r w:rsidRPr="00CE321A">
        <w:t xml:space="preserve"> to eligible scholarship organizations such as the Diocese of </w:t>
      </w:r>
      <w:r>
        <w:t>Scranton Scholarship Foundation and receive a significant State tax credit.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Full information and applications </w:t>
      </w:r>
      <w:r w:rsidR="00121C8F">
        <w:t xml:space="preserve">on the EITC program </w:t>
      </w:r>
      <w:proofErr w:type="gramStart"/>
      <w:r w:rsidRPr="00CE321A">
        <w:t>may be found</w:t>
      </w:r>
      <w:proofErr w:type="gramEnd"/>
      <w:r w:rsidRPr="00CE321A">
        <w:t xml:space="preserve"> by logging onto the DCED website: </w:t>
      </w:r>
      <w:hyperlink r:id="rId5" w:tgtFrame="_blank" w:history="1">
        <w:r w:rsidRPr="00CE321A">
          <w:rPr>
            <w:rStyle w:val="Hyperlink"/>
          </w:rPr>
          <w:t>https://dced.pa.gov/programs/educational-improvement-tax-credit-program-eitc/</w:t>
        </w:r>
      </w:hyperlink>
    </w:p>
    <w:p w:rsidR="00CE321A" w:rsidRPr="00CE321A" w:rsidRDefault="00121C8F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>The OSTC p</w:t>
      </w:r>
      <w:r w:rsidR="00CE321A" w:rsidRPr="00CE321A">
        <w:t xml:space="preserve">rogram </w:t>
      </w:r>
      <w:r>
        <w:t xml:space="preserve">is similar to the EITC program with one additional requirement – eligible families who receive need based tuition assistance through gifts given by businesses through the OSTC program must reside </w:t>
      </w:r>
      <w:r w:rsidR="00CE321A" w:rsidRPr="00CE321A">
        <w:t xml:space="preserve">within the boundaries of an underperforming school </w:t>
      </w:r>
      <w:r>
        <w:t>district as determined by the State each year</w:t>
      </w:r>
      <w:r w:rsidR="00D86F31">
        <w:t>.</w:t>
      </w:r>
    </w:p>
    <w:p w:rsidR="00CE321A" w:rsidRDefault="00121C8F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0000FF"/>
        </w:rPr>
      </w:pPr>
      <w:r>
        <w:t xml:space="preserve">Information on the OSTC program </w:t>
      </w:r>
      <w:r w:rsidR="00CE321A" w:rsidRPr="00CE321A">
        <w:t xml:space="preserve">can be found </w:t>
      </w:r>
      <w:proofErr w:type="gramStart"/>
      <w:r w:rsidR="00CE321A" w:rsidRPr="00CE321A">
        <w:t>at:</w:t>
      </w:r>
      <w:proofErr w:type="gramEnd"/>
      <w:r w:rsidR="00CE321A" w:rsidRPr="00CE321A">
        <w:t> </w:t>
      </w:r>
      <w:hyperlink r:id="rId6" w:history="1">
        <w:r w:rsidR="00D86F31" w:rsidRPr="000E179E">
          <w:rPr>
            <w:rStyle w:val="Hyperlink"/>
          </w:rPr>
          <w:t>https://dced.pa.gov/programs/opportunity-scholarship-tax-credit-program-ostc/</w:t>
        </w:r>
      </w:hyperlink>
    </w:p>
    <w:p w:rsidR="00D86F31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BC3748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BC3748" w:rsidRPr="00CE321A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bookmarkStart w:id="0" w:name="_GoBack"/>
      <w:bookmarkEnd w:id="0"/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lastRenderedPageBreak/>
        <w:t>The EITC/OSTC Process for Approval</w:t>
      </w:r>
      <w:r w:rsidR="00CE321A" w:rsidRPr="00CE321A">
        <w:rPr>
          <w:rStyle w:val="Strong"/>
        </w:rPr>
        <w:t>:</w:t>
      </w:r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t>1. A business must f</w:t>
      </w:r>
      <w:r w:rsidR="00CE321A" w:rsidRPr="00CE321A">
        <w:t>ill out the application on the DCED website above.</w:t>
      </w:r>
      <w:r w:rsidR="0051653B">
        <w:t xml:space="preserve"> Businesses that continue in the program each year can apply between May 15 and June 30. Businesses that have never participated or businesses that have had a lapse in their annual participation must apply on July 1.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2. The business then receives a letter of approval from DCED for participation.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3. The business sub</w:t>
      </w:r>
      <w:r w:rsidR="00D86F31">
        <w:t>mits their gift</w:t>
      </w:r>
      <w:r w:rsidRPr="00CE321A">
        <w:t xml:space="preserve"> within sixty days to the Diocese of Scranton Scholarship Foundation.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4. The Diocese provides the business with an acknowledgement of the contribution.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5. The business submits the acknowledgement to DCED.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6. DCED communicates with the PA Department of Revenue and applicable credit </w:t>
      </w:r>
      <w:proofErr w:type="gramStart"/>
      <w:r w:rsidRPr="00CE321A">
        <w:t>is applied</w:t>
      </w:r>
      <w:proofErr w:type="gramEnd"/>
      <w:r w:rsidRPr="00CE321A">
        <w:t xml:space="preserve"> to business tax account. A notice </w:t>
      </w:r>
      <w:proofErr w:type="gramStart"/>
      <w:r w:rsidRPr="00CE321A">
        <w:t>is provided</w:t>
      </w:r>
      <w:proofErr w:type="gramEnd"/>
      <w:r w:rsidRPr="00CE321A">
        <w:t xml:space="preserve"> to the business.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7. Credit </w:t>
      </w:r>
      <w:proofErr w:type="gramStart"/>
      <w:r w:rsidRPr="00CE321A">
        <w:t>is applied</w:t>
      </w:r>
      <w:proofErr w:type="gramEnd"/>
      <w:r w:rsidRPr="00CE321A">
        <w:t xml:space="preserve"> as if paid at the beginning of the tax year.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 xml:space="preserve">8. The credit </w:t>
      </w:r>
      <w:proofErr w:type="gramStart"/>
      <w:r w:rsidRPr="00CE321A">
        <w:t>is taken</w:t>
      </w:r>
      <w:proofErr w:type="gramEnd"/>
      <w:r w:rsidRPr="00CE321A">
        <w:t xml:space="preserve"> as a payment of taxes on the businesses annual tax return filing.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This entire process must take no more than ninety days.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p w:rsidR="00CE321A" w:rsidRPr="00CE321A" w:rsidRDefault="00D86F31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t>What Businesses Qualify</w:t>
      </w:r>
      <w:r w:rsidR="00CE321A" w:rsidRPr="00CE321A">
        <w:rPr>
          <w:rStyle w:val="Strong"/>
        </w:rPr>
        <w:t>?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t>Businesses that pay any of the following Pennsylvania State Taxes may apply for tax credits through the EITC/OSTC program: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Corporate Net Income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Title Insurance Company Shares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Capital Stock and Franchise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Bank and Trust Company Shares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Insurance Premiums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Mutual Thrift Institutions Tax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Personal Income Tax of S corporation shareholders or Partnership partners.</w:t>
      </w:r>
    </w:p>
    <w:p w:rsidR="00CE321A" w:rsidRP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Malt Beverage Tax (Tax Reform Code Article XX)</w:t>
      </w:r>
    </w:p>
    <w:p w:rsidR="00CE321A" w:rsidRDefault="00CE321A" w:rsidP="00CE321A">
      <w:pPr>
        <w:numPr>
          <w:ilvl w:val="0"/>
          <w:numId w:val="2"/>
        </w:num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  <w:r w:rsidRPr="00CE321A">
        <w:rPr>
          <w:rFonts w:ascii="Times New Roman" w:hAnsi="Times New Roman"/>
          <w:sz w:val="24"/>
          <w:szCs w:val="24"/>
        </w:rPr>
        <w:t>Tax credits can be distributed through more than one level of pass through entities, and new changes now include spousal participation</w:t>
      </w:r>
    </w:p>
    <w:p w:rsidR="00D86F31" w:rsidRPr="00CE321A" w:rsidRDefault="00D86F31" w:rsidP="00D86F31">
      <w:pPr>
        <w:shd w:val="clear" w:color="auto" w:fill="FFFFFF"/>
        <w:spacing w:before="30" w:after="30" w:line="276" w:lineRule="auto"/>
        <w:ind w:left="390"/>
        <w:textAlignment w:val="baseline"/>
        <w:rPr>
          <w:rFonts w:ascii="Times New Roman" w:hAnsi="Times New Roman"/>
          <w:sz w:val="24"/>
          <w:szCs w:val="24"/>
        </w:rPr>
      </w:pPr>
    </w:p>
    <w:p w:rsidR="00CE321A" w:rsidRPr="00CE321A" w:rsidRDefault="0051653B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>
        <w:rPr>
          <w:rStyle w:val="Strong"/>
        </w:rPr>
        <w:lastRenderedPageBreak/>
        <w:t>How does the EITC/OSTC Tax Credit Work</w:t>
      </w:r>
      <w:r w:rsidR="00CE321A" w:rsidRPr="00CE321A">
        <w:rPr>
          <w:rStyle w:val="Strong"/>
        </w:rPr>
        <w:t>?</w:t>
      </w:r>
    </w:p>
    <w:p w:rsidR="00CE321A" w:rsidRP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51653B">
        <w:rPr>
          <w:b/>
        </w:rPr>
        <w:t>Grades K through 12:</w:t>
      </w:r>
      <w:r w:rsidRPr="00CE321A">
        <w:t xml:space="preserve"> A tax credit of 75% of Pennsylvania State Taxes is granted for a </w:t>
      </w:r>
      <w:proofErr w:type="gramStart"/>
      <w:r w:rsidRPr="00CE321A">
        <w:t>one year</w:t>
      </w:r>
      <w:proofErr w:type="gramEnd"/>
      <w:r w:rsidRPr="00CE321A">
        <w:t xml:space="preserve"> commitment. A 90% tax credit is granted for a </w:t>
      </w:r>
      <w:proofErr w:type="gramStart"/>
      <w:r w:rsidRPr="00CE321A">
        <w:t>two year</w:t>
      </w:r>
      <w:proofErr w:type="gramEnd"/>
      <w:r w:rsidRPr="00CE321A">
        <w:t xml:space="preserve"> commitment. The maximum is $</w:t>
      </w:r>
      <w:r w:rsidR="0051653B">
        <w:t>750,000 per year per business</w:t>
      </w:r>
      <w:r w:rsidRPr="00CE321A">
        <w:t>. All donations up to the maximum amount are accepted.</w:t>
      </w:r>
    </w:p>
    <w:p w:rsidR="00CE321A" w:rsidRDefault="00CE321A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  <w:r w:rsidRPr="00CE321A">
        <w:rPr>
          <w:rStyle w:val="Strong"/>
        </w:rPr>
        <w:t>Pre-K:</w:t>
      </w:r>
      <w:r w:rsidRPr="00CE321A">
        <w:t> A tax credit of 100% for the first $10,000 of contribution to an eligible organiza</w:t>
      </w:r>
      <w:r w:rsidR="0051653B">
        <w:t xml:space="preserve">tion </w:t>
      </w:r>
      <w:proofErr w:type="gramStart"/>
      <w:r w:rsidR="0051653B">
        <w:t>is granted</w:t>
      </w:r>
      <w:proofErr w:type="gramEnd"/>
      <w:r w:rsidR="0051653B">
        <w:t xml:space="preserve"> to a business</w:t>
      </w:r>
      <w:r w:rsidRPr="00CE321A">
        <w:t xml:space="preserve"> regardless of the number of years applied for. A 90% tax credit </w:t>
      </w:r>
      <w:proofErr w:type="gramStart"/>
      <w:r w:rsidRPr="00CE321A">
        <w:t>is granted</w:t>
      </w:r>
      <w:proofErr w:type="gramEnd"/>
      <w:r w:rsidRPr="00CE321A">
        <w:t xml:space="preserve"> for the remaining contribution up to a maxi</w:t>
      </w:r>
      <w:r w:rsidR="00BC3748">
        <w:t>mum of $200,000 per business.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 w:rsidRPr="00BC3748">
        <w:rPr>
          <w:color w:val="333333"/>
          <w:spacing w:val="6"/>
          <w:sz w:val="22"/>
          <w:szCs w:val="22"/>
        </w:rPr>
        <w:t xml:space="preserve">For more details </w:t>
      </w:r>
      <w:proofErr w:type="gramStart"/>
      <w:r w:rsidRPr="00BC3748">
        <w:rPr>
          <w:color w:val="333333"/>
          <w:spacing w:val="6"/>
          <w:sz w:val="22"/>
          <w:szCs w:val="22"/>
        </w:rPr>
        <w:t>about this program and to discover</w:t>
      </w:r>
      <w:proofErr w:type="gramEnd"/>
      <w:r w:rsidRPr="00BC3748">
        <w:rPr>
          <w:color w:val="333333"/>
          <w:spacing w:val="6"/>
          <w:sz w:val="22"/>
          <w:szCs w:val="22"/>
        </w:rPr>
        <w:t xml:space="preserve"> the benefits of contributing, contact:</w:t>
      </w:r>
    </w:p>
    <w:p w:rsid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color w:val="000000"/>
          <w:spacing w:val="6"/>
          <w:sz w:val="22"/>
          <w:szCs w:val="22"/>
        </w:rPr>
      </w:pP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color w:val="000000"/>
          <w:spacing w:val="6"/>
        </w:rPr>
      </w:pPr>
      <w:r w:rsidRPr="00BC3748">
        <w:rPr>
          <w:rStyle w:val="Strong"/>
          <w:color w:val="000000"/>
          <w:spacing w:val="6"/>
        </w:rPr>
        <w:t>For More Information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b w:val="0"/>
          <w:color w:val="000000"/>
          <w:spacing w:val="6"/>
        </w:rPr>
      </w:pPr>
      <w:r w:rsidRPr="00BC3748">
        <w:rPr>
          <w:rStyle w:val="Strong"/>
          <w:b w:val="0"/>
          <w:color w:val="000000"/>
          <w:spacing w:val="6"/>
        </w:rPr>
        <w:t>For more information about this program, please contact:</w:t>
      </w:r>
    </w:p>
    <w:p w:rsidR="00BC3748" w:rsidRPr="00BC3748" w:rsidRDefault="00BC3748" w:rsidP="00BC374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pacing w:val="6"/>
        </w:rPr>
      </w:pPr>
      <w:r w:rsidRPr="00BC3748">
        <w:rPr>
          <w:rStyle w:val="Strong"/>
          <w:b w:val="0"/>
          <w:spacing w:val="6"/>
        </w:rPr>
        <w:t xml:space="preserve">Jim </w:t>
      </w:r>
      <w:r w:rsidRPr="00BC3748">
        <w:rPr>
          <w:rStyle w:val="Strong"/>
          <w:b w:val="0"/>
          <w:spacing w:val="6"/>
        </w:rPr>
        <w:t>Bebla</w:t>
      </w:r>
      <w:r w:rsidRPr="00BC3748">
        <w:rPr>
          <w:b/>
          <w:bCs/>
          <w:spacing w:val="6"/>
        </w:rPr>
        <w:br/>
      </w:r>
      <w:r w:rsidRPr="00BC3748">
        <w:rPr>
          <w:rStyle w:val="Strong"/>
          <w:b w:val="0"/>
          <w:spacing w:val="6"/>
        </w:rPr>
        <w:t>Diocesan Secretary for Development</w:t>
      </w:r>
      <w:r w:rsidRPr="00BC3748">
        <w:rPr>
          <w:b/>
          <w:bCs/>
          <w:spacing w:val="6"/>
        </w:rPr>
        <w:br/>
      </w:r>
      <w:r w:rsidRPr="00BC3748">
        <w:rPr>
          <w:spacing w:val="6"/>
        </w:rPr>
        <w:t>Phone: 570-207-2250, ext. 1070</w:t>
      </w:r>
      <w:r w:rsidRPr="00BC3748">
        <w:rPr>
          <w:spacing w:val="6"/>
        </w:rPr>
        <w:br/>
        <w:t>Fax: 570-207-1835</w:t>
      </w:r>
      <w:r w:rsidRPr="00BC3748">
        <w:rPr>
          <w:spacing w:val="6"/>
        </w:rPr>
        <w:br/>
        <w:t>E-mail: </w:t>
      </w:r>
      <w:hyperlink r:id="rId7" w:history="1">
        <w:r w:rsidRPr="00BC3748">
          <w:rPr>
            <w:rStyle w:val="Hyperlink"/>
            <w:spacing w:val="6"/>
          </w:rPr>
          <w:t>Jim-Bebla@dioceseofscranton.org</w:t>
        </w:r>
      </w:hyperlink>
      <w:r w:rsidRPr="00BC3748">
        <w:rPr>
          <w:spacing w:val="6"/>
        </w:rPr>
        <w:t xml:space="preserve"> </w:t>
      </w:r>
    </w:p>
    <w:p w:rsidR="00BC3748" w:rsidRPr="00CE321A" w:rsidRDefault="00BC3748" w:rsidP="00CE321A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</w:pPr>
    </w:p>
    <w:sectPr w:rsidR="00BC3748" w:rsidRPr="00CE3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33A"/>
    <w:multiLevelType w:val="multilevel"/>
    <w:tmpl w:val="5EB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30283"/>
    <w:multiLevelType w:val="multilevel"/>
    <w:tmpl w:val="32A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F479A"/>
    <w:multiLevelType w:val="hybridMultilevel"/>
    <w:tmpl w:val="5254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2B"/>
    <w:rsid w:val="00121C8F"/>
    <w:rsid w:val="001A2717"/>
    <w:rsid w:val="001C4877"/>
    <w:rsid w:val="00237826"/>
    <w:rsid w:val="0051653B"/>
    <w:rsid w:val="0076152B"/>
    <w:rsid w:val="00BC3748"/>
    <w:rsid w:val="00CE321A"/>
    <w:rsid w:val="00D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3E2"/>
  <w15:chartTrackingRefBased/>
  <w15:docId w15:val="{F2C1D3D0-D210-4EB5-BB7B-0200586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8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C4877"/>
    <w:pPr>
      <w:ind w:left="720"/>
    </w:pPr>
  </w:style>
  <w:style w:type="paragraph" w:styleId="NormalWeb">
    <w:name w:val="Normal (Web)"/>
    <w:basedOn w:val="Normal"/>
    <w:uiPriority w:val="99"/>
    <w:unhideWhenUsed/>
    <w:rsid w:val="00CE32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469441">
                      <w:marLeft w:val="0"/>
                      <w:marRight w:val="-15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0828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13168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762">
                  <w:marLeft w:val="0"/>
                  <w:marRight w:val="5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-Bebla@dioceseofscran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ed.pa.gov/programs/opportunity-scholarship-tax-credit-program-ostc/" TargetMode="External"/><Relationship Id="rId5" Type="http://schemas.openxmlformats.org/officeDocument/2006/relationships/hyperlink" Target="https://dced.pa.gov/programs/educational-improvement-tax-credit-program-eit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Bebla, Jim</dc:creator>
  <cp:keywords/>
  <dc:description/>
  <cp:lastModifiedBy>Bebla, Jim</cp:lastModifiedBy>
  <cp:revision>4</cp:revision>
  <dcterms:created xsi:type="dcterms:W3CDTF">2019-01-04T15:29:00Z</dcterms:created>
  <dcterms:modified xsi:type="dcterms:W3CDTF">2019-01-04T16:33:00Z</dcterms:modified>
</cp:coreProperties>
</file>